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KSK 2024 3 vom 2. Februar 2024</w:t>
      </w:r>
    </w:p>
    <w:p>
      <w:r>
        <w:t>GR Gerichte, 2024-02-02, DE</w:t>
      </w:r>
    </w:p>
    <w:p>
      <w:r>
        <w:rPr>
          <w:b/>
        </w:rPr>
        <w:t xml:space="preserve">Quelle: </w:t>
      </w:r>
      <w:r>
        <w:t>https://mcp.opencaselaw.ch/entscheid/gr_gerichte_KSK 2024 3</w:t>
      </w:r>
    </w:p>
    <w:p>
      <w:r>
        <w:t>FR: GR_GERICHTE KSK 2024 3 du 2 février 2024</w:t>
      </w:r>
    </w:p>
    <w:p>
      <w:r>
        <w:t>IT: GR_GERICHTE KSK 2024 3 del 2 febbraio 2024</w:t>
      </w:r>
    </w:p>
    <w:p>
      <w:pPr>
        <w:pStyle w:val="Heading2"/>
      </w:pPr>
      <w:r>
        <w:t>Regeste</w:t>
      </w:r>
    </w:p>
    <w:p>
      <w:r>
        <w:t>Pfändungsankündigung | Aufsicht Beschwerde (17 Abs. 1 SchKG)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/ 4 In Erwägung, – dass in der Betreibung Nr. D._____ vor dem Betreibungs- und Konkursamt der Region Plessur (nachfolgend Betreibungsamt Plessur) der B._____ &amp; Co. AG, vertreten durch die C._____ AG, gegen A._____ über den Betrag von CHF 977.20, welche gestützt auf einen Verlustschein erhoben wurde, am 12. Janu- ar 2024 die Pfändungsankündigung an A._____ erging, – dass A._____ (nachfolgend Beschwerdeführer), vertreten durch Rechtsanwalt Peter A. Weidinger, gegen die Pfändungsankündigung am 16. Januar 2024 Beschwerde erhob und beantragte, das Betreibungs- und Pfändungsverfahren gegen den Beschwerdeführer sei einzustellen, eventualiter zur Neubeurteilung an das Betreibungsamt Plessur zurückzuweisen, und ihm sei die unentgeltli- che Rechtspflege zu gewähren, – dass der Beschwerdeführer zur Begründung geltend machte, er habe nie Leis- tungen bei der B._____ &amp; Co. AG, bezogen, sondern es sei vor vielen Jahren ein Verlustschein zugunsten der B._____ Co in E._____ ausgestellt worden, welche indessen längstens erloschen sei, womit auch keine Forderungen mehr bestünden, – dass die Betreibung Nr. D._____ gegen den Beschwerdeführer von der Gläu- bigervertreterin am 19. Januar 2024 zurückgezogen wurde, – dass das Betreibungsamt Plessur dies unter Beilage eines Auszugs aus dem eSchKG dem Kantonsgericht mit Eingabe vom 24. Januar 2024 mitteilte, – dass mit dem Rückzug der Betreibung die ergangene Pfändungsankündigung hinfällig wird, – dass sich die Beschwerde somit als gegenstandslos erweist und am Ge- schäftsverzeichnis abgeschrieben werden kann, – dass noch über den Antrag um Gewährung der unentgeltlichen Prozess- führung zu entscheiden ist, – dass gestützt auf Art. 17 Abs. 4 EGzSchKG i.V.m. Art. 117 ZPO ein Anspruch auf unentgeltliche Rechtspflege besteht, wenn die betroffene Person nicht über die erforderlichen Mittel verfügt und ihr Rechtsbegehren nicht aussichts- los erscheint,</w:t>
      </w:r>
    </w:p>
    <w:p>
      <w:r>
        <w:rPr>
          <w:b/>
        </w:rPr>
        <w:t>E. 3</w:t>
      </w:r>
    </w:p>
    <w:p>
      <w:r>
        <w:t>/ 4 – dass gemäss Art. 20a Abs. 2 Ziff. 5 Satz 1 SchKG und Art. 61 Abs. 2 lit. a GebV das Beschwerdeverfahren vor der kantonalen Aufsichtsbehörde kosten- los ist, – dass im Beschwerdeverfahren nach Art. 17 ff. SchKG grundsätzlich auch kei- ne Parteienschädigung zugesprochen werden kann (Art. 62 Abs. 2 GebV SchKG), – dass sich das Begehren folglich auf die unentgeltliche Rechtsverbeiständung beschränkt, – dass Voraussetzung für eine unentgeltliche Verbeiständung nebst der Frage der fehlenden Aussichtslosigkeit des Begehrens und der Notwendigkeit einer Verbeiständung die Mittellosigkeit des Beschwerdeführers ist, – dass die Mittellosigkeit vom Beschwerdeführer dem Kantonsgericht aufgezeigt werden muss, – dass trotz des in der Beschwerde vom 16. Januar 2024 angekündigten Nach- reichens von Beweisen der Mittellosigkeit keine Unterlagen eingereicht wur- den, – dass somit die Voraussetzungen für die Gewährung der unentgeltlichen Ver- beiständung nicht erfüllt sind und das Begehren abzuweisen ist, – dass der vorliegende Entscheid in einzelrichterlicher Kompetenz ergeht (Art. 9 Abs. 2 GOG [BR 173.000]), – dass sich das Rechtsmittel gegen die Abweisung des Gesuchs um Ge- währung der unentgeltlichen Rechtspflege nach dem für die Hauptsache ein- schlägigen Rechtsmittel richtet (BGer 4A_540/2017 v. 1.3.2018 E. 1.1),</w:t>
      </w:r>
    </w:p>
    <w:p>
      <w:r>
        <w:rPr>
          <w:b/>
        </w:rPr>
        <w:t>E. 4</w:t>
      </w:r>
    </w:p>
    <w:p>
      <w:r>
        <w:t>/ 4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